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FAD03" w14:textId="61EB0D89" w:rsidR="004A4954" w:rsidRDefault="007A7CCF" w:rsidP="007127DB">
      <w:pPr>
        <w:spacing w:after="0" w:line="240" w:lineRule="exact"/>
        <w:rPr>
          <w:rFonts w:ascii="Lucida Bright" w:hAnsi="Lucida Bright" w:cs="Arial"/>
          <w:b/>
        </w:rPr>
      </w:pPr>
      <w:bookmarkStart w:id="0" w:name="_GoBack"/>
      <w:bookmarkEnd w:id="0"/>
      <w:r>
        <w:rPr>
          <w:rFonts w:ascii="Lucida Bright" w:hAnsi="Lucida Bright" w:cs="Arial"/>
          <w:b/>
        </w:rPr>
        <w:t>Note on #Time4aTimeLimit - for APPG on Re</w:t>
      </w:r>
      <w:r w:rsidR="001843E6">
        <w:rPr>
          <w:rFonts w:ascii="Lucida Bright" w:hAnsi="Lucida Bright" w:cs="Arial"/>
          <w:b/>
        </w:rPr>
        <w:t>fugees meeting 4</w:t>
      </w:r>
      <w:r>
        <w:rPr>
          <w:rFonts w:ascii="Lucida Bright" w:hAnsi="Lucida Bright" w:cs="Arial"/>
          <w:b/>
        </w:rPr>
        <w:t xml:space="preserve"> July 2018</w:t>
      </w:r>
      <w:r w:rsidR="00E61745" w:rsidRPr="009D2A25">
        <w:rPr>
          <w:rFonts w:ascii="Lucida Bright" w:hAnsi="Lucida Bright" w:cs="Arial"/>
          <w:b/>
        </w:rPr>
        <w:t xml:space="preserve"> </w:t>
      </w:r>
    </w:p>
    <w:p w14:paraId="3CC9FCFC" w14:textId="77777777" w:rsidR="007A7CCF" w:rsidRDefault="007A7CCF" w:rsidP="007127DB">
      <w:pPr>
        <w:spacing w:after="0" w:line="240" w:lineRule="exact"/>
        <w:rPr>
          <w:rFonts w:ascii="Lucida Bright" w:hAnsi="Lucida Bright" w:cs="Arial"/>
          <w:b/>
        </w:rPr>
      </w:pPr>
    </w:p>
    <w:p w14:paraId="2BFB3454" w14:textId="6540297E" w:rsidR="007A7CCF" w:rsidRDefault="007A7CCF" w:rsidP="007127DB">
      <w:pPr>
        <w:spacing w:after="0" w:line="240" w:lineRule="exact"/>
        <w:rPr>
          <w:rFonts w:ascii="Lucida Bright" w:hAnsi="Lucida Bright" w:cs="Arial"/>
        </w:rPr>
      </w:pPr>
      <w:r>
        <w:rPr>
          <w:rFonts w:ascii="Lucida Bright" w:hAnsi="Lucida Bright" w:cs="Arial"/>
        </w:rPr>
        <w:t xml:space="preserve">The Detention Forum has been co-ordinating inter-agency work and supporting a cross-party call for a time limit on immigration detention since 2012. We have </w:t>
      </w:r>
      <w:r w:rsidR="00013293">
        <w:rPr>
          <w:rFonts w:ascii="Lucida Bright" w:hAnsi="Lucida Bright" w:cs="Arial"/>
        </w:rPr>
        <w:t xml:space="preserve">identified priorities for and </w:t>
      </w:r>
      <w:r>
        <w:rPr>
          <w:rFonts w:ascii="Lucida Bright" w:hAnsi="Lucida Bright" w:cs="Arial"/>
        </w:rPr>
        <w:t>possible challenges that might arise during the passage of the Immigration Bill. Today’s APPG meeting clashes with our regular quarterly meetings</w:t>
      </w:r>
      <w:r w:rsidR="00013293">
        <w:rPr>
          <w:rFonts w:ascii="Lucida Bright" w:hAnsi="Lucida Bright" w:cs="Arial"/>
        </w:rPr>
        <w:t xml:space="preserve"> and </w:t>
      </w:r>
      <w:r>
        <w:rPr>
          <w:rFonts w:ascii="Lucida Bright" w:hAnsi="Lucida Bright" w:cs="Arial"/>
        </w:rPr>
        <w:t xml:space="preserve">I am unable to attend. I submit this short document </w:t>
      </w:r>
      <w:r w:rsidR="00B47FE5">
        <w:rPr>
          <w:rFonts w:ascii="Lucida Bright" w:hAnsi="Lucida Bright" w:cs="Arial"/>
        </w:rPr>
        <w:t>to assist your discussion</w:t>
      </w:r>
      <w:r>
        <w:rPr>
          <w:rFonts w:ascii="Lucida Bright" w:hAnsi="Lucida Bright" w:cs="Arial"/>
        </w:rPr>
        <w:t xml:space="preserve">.  </w:t>
      </w:r>
    </w:p>
    <w:p w14:paraId="28FC753D" w14:textId="77777777" w:rsidR="007A7CCF" w:rsidRDefault="007A7CCF" w:rsidP="007127DB">
      <w:pPr>
        <w:spacing w:after="0" w:line="240" w:lineRule="exact"/>
        <w:rPr>
          <w:rFonts w:ascii="Lucida Bright" w:hAnsi="Lucida Bright" w:cs="Arial"/>
        </w:rPr>
      </w:pPr>
    </w:p>
    <w:p w14:paraId="4EE0EC61" w14:textId="22CCF948" w:rsidR="001A21BF" w:rsidRDefault="001D2ADE" w:rsidP="007127DB">
      <w:pPr>
        <w:spacing w:after="0" w:line="240" w:lineRule="exact"/>
        <w:rPr>
          <w:rFonts w:ascii="Lucida Bright" w:hAnsi="Lucida Bright" w:cs="Arial"/>
          <w:b/>
        </w:rPr>
      </w:pPr>
      <w:r>
        <w:rPr>
          <w:rFonts w:ascii="Lucida Bright" w:hAnsi="Lucida Bright" w:cs="Arial"/>
          <w:b/>
        </w:rPr>
        <w:t xml:space="preserve">1) </w:t>
      </w:r>
      <w:r w:rsidR="002079AD" w:rsidRPr="002079AD">
        <w:rPr>
          <w:rFonts w:ascii="Lucida Bright" w:hAnsi="Lucida Bright" w:cs="Arial"/>
          <w:b/>
        </w:rPr>
        <w:t xml:space="preserve">Need to </w:t>
      </w:r>
      <w:r>
        <w:rPr>
          <w:rFonts w:ascii="Lucida Bright" w:hAnsi="Lucida Bright" w:cs="Arial"/>
          <w:b/>
        </w:rPr>
        <w:t>expand a</w:t>
      </w:r>
      <w:r w:rsidR="002079AD" w:rsidRPr="002079AD">
        <w:rPr>
          <w:rFonts w:ascii="Lucida Bright" w:hAnsi="Lucida Bright" w:cs="Arial"/>
          <w:b/>
        </w:rPr>
        <w:t xml:space="preserve"> range of MPs and peers </w:t>
      </w:r>
      <w:r>
        <w:rPr>
          <w:rFonts w:ascii="Lucida Bright" w:hAnsi="Lucida Bright" w:cs="Arial"/>
          <w:b/>
        </w:rPr>
        <w:t>across parties and interests</w:t>
      </w:r>
      <w:r w:rsidR="00B47FE5">
        <w:rPr>
          <w:rFonts w:ascii="Lucida Bright" w:hAnsi="Lucida Bright" w:cs="Arial"/>
          <w:b/>
        </w:rPr>
        <w:t xml:space="preserve"> who can support this call</w:t>
      </w:r>
      <w:r w:rsidR="002079AD">
        <w:rPr>
          <w:rFonts w:ascii="Lucida Bright" w:hAnsi="Lucida Bright" w:cs="Arial"/>
          <w:b/>
        </w:rPr>
        <w:t xml:space="preserve">. </w:t>
      </w:r>
    </w:p>
    <w:p w14:paraId="33D678EA" w14:textId="77777777" w:rsidR="00E66536" w:rsidRDefault="00E66536" w:rsidP="007127DB">
      <w:pPr>
        <w:spacing w:after="0" w:line="240" w:lineRule="exact"/>
        <w:rPr>
          <w:rFonts w:ascii="Lucida Bright" w:hAnsi="Lucida Bright" w:cs="Arial"/>
        </w:rPr>
      </w:pPr>
    </w:p>
    <w:p w14:paraId="070550F9" w14:textId="1F0FE0ED" w:rsidR="002079AD" w:rsidRDefault="002079AD" w:rsidP="007127DB">
      <w:pPr>
        <w:spacing w:after="0" w:line="240" w:lineRule="exact"/>
        <w:rPr>
          <w:rFonts w:ascii="Lucida Bright" w:hAnsi="Lucida Bright" w:cs="Arial"/>
        </w:rPr>
      </w:pPr>
      <w:r>
        <w:rPr>
          <w:rFonts w:ascii="Lucida Bright" w:hAnsi="Lucida Bright" w:cs="Arial"/>
        </w:rPr>
        <w:t xml:space="preserve">The scandal of indefinite immigration detention without a time limit concerns not just politicians interested in refugee issues, but also those who are active in supporting migrants in general, protecting human rights and civil liberties and </w:t>
      </w:r>
      <w:r w:rsidR="00B47FE5">
        <w:rPr>
          <w:rFonts w:ascii="Lucida Bright" w:hAnsi="Lucida Bright" w:cs="Arial"/>
        </w:rPr>
        <w:t xml:space="preserve">defending </w:t>
      </w:r>
      <w:r>
        <w:rPr>
          <w:rFonts w:ascii="Lucida Bright" w:hAnsi="Lucida Bright" w:cs="Arial"/>
        </w:rPr>
        <w:t xml:space="preserve">the rule of law. </w:t>
      </w:r>
      <w:r w:rsidRPr="00013293">
        <w:rPr>
          <w:rFonts w:ascii="Lucida Bright" w:hAnsi="Lucida Bright" w:cs="Arial"/>
          <w:b/>
        </w:rPr>
        <w:t>Please consider speaking to you</w:t>
      </w:r>
      <w:r w:rsidR="00B47FE5">
        <w:rPr>
          <w:rFonts w:ascii="Lucida Bright" w:hAnsi="Lucida Bright" w:cs="Arial"/>
          <w:b/>
        </w:rPr>
        <w:t>r colleagues now to widen</w:t>
      </w:r>
      <w:r w:rsidRPr="00013293">
        <w:rPr>
          <w:rFonts w:ascii="Lucida Bright" w:hAnsi="Lucida Bright" w:cs="Arial"/>
          <w:b/>
        </w:rPr>
        <w:t xml:space="preserve"> </w:t>
      </w:r>
      <w:r w:rsidR="00E6723F">
        <w:rPr>
          <w:rFonts w:ascii="Lucida Bright" w:hAnsi="Lucida Bright" w:cs="Arial"/>
          <w:b/>
        </w:rPr>
        <w:t xml:space="preserve">the </w:t>
      </w:r>
      <w:r w:rsidRPr="00013293">
        <w:rPr>
          <w:rFonts w:ascii="Lucida Bright" w:hAnsi="Lucida Bright" w:cs="Arial"/>
          <w:b/>
        </w:rPr>
        <w:t>cross-party support base.</w:t>
      </w:r>
      <w:r>
        <w:rPr>
          <w:rFonts w:ascii="Lucida Bright" w:hAnsi="Lucida Bright" w:cs="Arial"/>
        </w:rPr>
        <w:t xml:space="preserve"> </w:t>
      </w:r>
      <w:r w:rsidR="00013293" w:rsidRPr="00013293">
        <w:rPr>
          <w:rFonts w:ascii="Lucida Bright" w:hAnsi="Lucida Bright" w:cs="Arial"/>
          <w:b/>
        </w:rPr>
        <w:t>Please let us know whom you think we should be talking to.</w:t>
      </w:r>
      <w:r w:rsidR="00013293">
        <w:rPr>
          <w:rFonts w:ascii="Lucida Bright" w:hAnsi="Lucida Bright" w:cs="Arial"/>
        </w:rPr>
        <w:t xml:space="preserve"> </w:t>
      </w:r>
    </w:p>
    <w:p w14:paraId="081AC8B9" w14:textId="77777777" w:rsidR="002079AD" w:rsidRDefault="002079AD" w:rsidP="007127DB">
      <w:pPr>
        <w:spacing w:after="0" w:line="240" w:lineRule="exact"/>
        <w:rPr>
          <w:rFonts w:ascii="Lucida Bright" w:hAnsi="Lucida Bright" w:cs="Arial"/>
        </w:rPr>
      </w:pPr>
    </w:p>
    <w:p w14:paraId="7751648E" w14:textId="5D99A3AC" w:rsidR="002079AD" w:rsidRDefault="001D2ADE" w:rsidP="007127DB">
      <w:pPr>
        <w:spacing w:after="0" w:line="240" w:lineRule="exact"/>
        <w:rPr>
          <w:rFonts w:ascii="Lucida Bright" w:hAnsi="Lucida Bright" w:cs="Arial"/>
          <w:b/>
        </w:rPr>
      </w:pPr>
      <w:r>
        <w:rPr>
          <w:rFonts w:ascii="Lucida Bright" w:hAnsi="Lucida Bright" w:cs="Arial"/>
          <w:b/>
        </w:rPr>
        <w:t xml:space="preserve">2) </w:t>
      </w:r>
      <w:r w:rsidR="002079AD">
        <w:rPr>
          <w:rFonts w:ascii="Lucida Bright" w:hAnsi="Lucida Bright" w:cs="Arial"/>
          <w:b/>
        </w:rPr>
        <w:t xml:space="preserve">Importance of advocating for a specific time limit of </w:t>
      </w:r>
      <w:r w:rsidR="002079AD" w:rsidRPr="002079AD">
        <w:rPr>
          <w:rFonts w:ascii="Lucida Bright" w:hAnsi="Lucida Bright" w:cs="Arial"/>
          <w:b/>
        </w:rPr>
        <w:t>28 day</w:t>
      </w:r>
      <w:r w:rsidR="002079AD">
        <w:rPr>
          <w:rFonts w:ascii="Lucida Bright" w:hAnsi="Lucida Bright" w:cs="Arial"/>
          <w:b/>
        </w:rPr>
        <w:t>s</w:t>
      </w:r>
      <w:r w:rsidR="002079AD" w:rsidRPr="002079AD">
        <w:rPr>
          <w:rFonts w:ascii="Lucida Bright" w:hAnsi="Lucida Bright" w:cs="Arial"/>
          <w:b/>
        </w:rPr>
        <w:t xml:space="preserve"> </w:t>
      </w:r>
      <w:r w:rsidR="007127DB">
        <w:rPr>
          <w:rFonts w:ascii="Lucida Bright" w:hAnsi="Lucida Bright" w:cs="Arial"/>
          <w:b/>
        </w:rPr>
        <w:t>for everyone.</w:t>
      </w:r>
      <w:r w:rsidR="002079AD" w:rsidRPr="002079AD">
        <w:rPr>
          <w:rFonts w:ascii="Lucida Bright" w:hAnsi="Lucida Bright" w:cs="Arial"/>
          <w:b/>
        </w:rPr>
        <w:t xml:space="preserve"> </w:t>
      </w:r>
    </w:p>
    <w:p w14:paraId="6DA18A3A" w14:textId="77777777" w:rsidR="00E66536" w:rsidRDefault="00E66536" w:rsidP="007127DB">
      <w:pPr>
        <w:spacing w:after="0" w:line="240" w:lineRule="exact"/>
        <w:rPr>
          <w:rFonts w:ascii="Lucida Bright" w:hAnsi="Lucida Bright" w:cs="Arial"/>
          <w:b/>
        </w:rPr>
      </w:pPr>
    </w:p>
    <w:p w14:paraId="4CB7AEBB" w14:textId="2F23394F" w:rsidR="00E66536" w:rsidRDefault="00206F9E" w:rsidP="00206F9E">
      <w:pPr>
        <w:jc w:val="right"/>
        <w:rPr>
          <w:rFonts w:ascii="Lucida Bright" w:hAnsi="Lucida Brigh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A555A" wp14:editId="4667B192">
                <wp:simplePos x="0" y="0"/>
                <wp:positionH relativeFrom="column">
                  <wp:posOffset>277495</wp:posOffset>
                </wp:positionH>
                <wp:positionV relativeFrom="paragraph">
                  <wp:posOffset>1096645</wp:posOffset>
                </wp:positionV>
                <wp:extent cx="1828800" cy="95123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2B625" w14:textId="77777777" w:rsidR="00206F9E" w:rsidRPr="00E66536" w:rsidRDefault="00206F9E" w:rsidP="00206F9E">
                            <w:pPr>
                              <w:pStyle w:val="ListParagraph"/>
                              <w:spacing w:after="0" w:line="240" w:lineRule="exact"/>
                              <w:ind w:left="0"/>
                              <w:rPr>
                                <w:rFonts w:ascii="Lucida Bright" w:hAnsi="Lucida Bright"/>
                                <w:i/>
                                <w:sz w:val="18"/>
                                <w:szCs w:val="18"/>
                              </w:rPr>
                            </w:pPr>
                            <w:r w:rsidRPr="00F87A7B">
                              <w:rPr>
                                <w:rFonts w:ascii="Lucida Bright" w:hAnsi="Lucida Bright"/>
                                <w:i/>
                                <w:sz w:val="18"/>
                                <w:szCs w:val="18"/>
                              </w:rPr>
                              <w:t>Distribution of length of time spent in detention among 2,469 individuals who were detained in one of the IRCs on 31 March 2018</w:t>
                            </w:r>
                          </w:p>
                          <w:p w14:paraId="1F51CFFF" w14:textId="77777777" w:rsidR="00206F9E" w:rsidRDefault="00206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A555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1.85pt;margin-top:86.35pt;width:2in;height:7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" filled="f" stroked="f">
                <v:textbox>
                  <w:txbxContent>
                    <w:p w14:paraId="7A42B625" w14:textId="77777777" w:rsidR="00206F9E" w:rsidRPr="00E66536" w:rsidRDefault="00206F9E" w:rsidP="00206F9E">
                      <w:pPr>
                        <w:pStyle w:val="ListParagraph"/>
                        <w:spacing w:after="0" w:line="240" w:lineRule="exact"/>
                        <w:ind w:left="0"/>
                        <w:rPr>
                          <w:rFonts w:ascii="Lucida Bright" w:hAnsi="Lucida Bright"/>
                          <w:i/>
                          <w:sz w:val="18"/>
                          <w:szCs w:val="18"/>
                        </w:rPr>
                      </w:pPr>
                      <w:r w:rsidRPr="00F87A7B">
                        <w:rPr>
                          <w:rFonts w:ascii="Lucida Bright" w:hAnsi="Lucida Bright"/>
                          <w:i/>
                          <w:sz w:val="18"/>
                          <w:szCs w:val="18"/>
                        </w:rPr>
                        <w:t>Distribution of length of time spent in detention among 2,469 individuals who were detained in one of the IRCs on 31 March 2018</w:t>
                      </w:r>
                    </w:p>
                    <w:p w14:paraId="1F51CFFF" w14:textId="77777777" w:rsidR="00206F9E" w:rsidRDefault="00206F9E"/>
                  </w:txbxContent>
                </v:textbox>
                <w10:wrap type="square"/>
              </v:shape>
            </w:pict>
          </mc:Fallback>
        </mc:AlternateContent>
      </w:r>
      <w:r w:rsidR="00E66536">
        <w:rPr>
          <w:noProof/>
          <w:lang w:val="en-US"/>
        </w:rPr>
        <w:drawing>
          <wp:inline distT="0" distB="0" distL="0" distR="0" wp14:anchorId="40387972" wp14:editId="173FD62C">
            <wp:extent cx="3677285" cy="2288540"/>
            <wp:effectExtent l="0" t="0" r="5715" b="228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396B9A1" w14:textId="746793C8" w:rsidR="007127DB" w:rsidRDefault="00E66536" w:rsidP="00206F9E">
      <w:pPr>
        <w:spacing w:after="0" w:line="240" w:lineRule="exact"/>
        <w:rPr>
          <w:rFonts w:ascii="Lucida Bright" w:hAnsi="Lucida Bright"/>
        </w:rPr>
      </w:pPr>
      <w:r>
        <w:rPr>
          <w:rFonts w:ascii="Lucida Bright" w:hAnsi="Lucida Bright"/>
        </w:rPr>
        <w:t>I</w:t>
      </w:r>
      <w:r w:rsidR="003B3AE9">
        <w:rPr>
          <w:rFonts w:ascii="Lucida Bright" w:hAnsi="Lucida Bright"/>
        </w:rPr>
        <w:t>t is vital</w:t>
      </w:r>
      <w:r w:rsidR="005E562D">
        <w:rPr>
          <w:rFonts w:ascii="Lucida Bright" w:hAnsi="Lucida Bright"/>
        </w:rPr>
        <w:t xml:space="preserve"> that any time limit that will be called for </w:t>
      </w:r>
      <w:r w:rsidR="003B3AE9">
        <w:rPr>
          <w:rFonts w:ascii="Lucida Bright" w:hAnsi="Lucida Bright"/>
        </w:rPr>
        <w:t>is</w:t>
      </w:r>
      <w:r>
        <w:rPr>
          <w:rFonts w:ascii="Lucida Bright" w:hAnsi="Lucida Bright"/>
        </w:rPr>
        <w:t xml:space="preserve"> </w:t>
      </w:r>
      <w:r w:rsidR="00B47FE5">
        <w:rPr>
          <w:rFonts w:ascii="Lucida Bright" w:hAnsi="Lucida Bright"/>
        </w:rPr>
        <w:t>sufficiently short, enabling</w:t>
      </w:r>
      <w:r w:rsidR="003B3AE9">
        <w:rPr>
          <w:rFonts w:ascii="Lucida Bright" w:hAnsi="Lucida Bright"/>
        </w:rPr>
        <w:t xml:space="preserve"> significant reduction of</w:t>
      </w:r>
      <w:r w:rsidR="007127DB">
        <w:rPr>
          <w:rFonts w:ascii="Lucida Bright" w:hAnsi="Lucida Bright"/>
        </w:rPr>
        <w:t xml:space="preserve"> the UK’s use of immigration detention. The Detention Forum recommends a 28 day time limit for all for the following reasons. </w:t>
      </w:r>
    </w:p>
    <w:p w14:paraId="13056F98" w14:textId="77777777" w:rsidR="007127DB" w:rsidRDefault="007127DB" w:rsidP="00206F9E">
      <w:pPr>
        <w:spacing w:after="0" w:line="240" w:lineRule="exact"/>
        <w:rPr>
          <w:rFonts w:ascii="Lucida Bright" w:hAnsi="Lucida Bright"/>
        </w:rPr>
      </w:pPr>
    </w:p>
    <w:p w14:paraId="1E44D564" w14:textId="4721F1FD" w:rsidR="002079AD" w:rsidRDefault="002079AD" w:rsidP="007127DB">
      <w:pPr>
        <w:spacing w:after="0" w:line="240" w:lineRule="exact"/>
        <w:rPr>
          <w:rFonts w:ascii="Lucida Bright" w:hAnsi="Lucida Bright"/>
        </w:rPr>
      </w:pPr>
      <w:r w:rsidRPr="00EC74A3">
        <w:rPr>
          <w:rFonts w:ascii="Lucida Bright" w:hAnsi="Lucida Bright"/>
        </w:rPr>
        <w:t>Two parliamentary inquiries</w:t>
      </w:r>
      <w:r w:rsidRPr="002079AD">
        <w:rPr>
          <w:rFonts w:ascii="Lucida Bright" w:hAnsi="Lucida Bright"/>
        </w:rPr>
        <w:t xml:space="preserve"> </w:t>
      </w:r>
      <w:r w:rsidRPr="00EC74A3">
        <w:rPr>
          <w:rFonts w:ascii="Lucida Bright" w:hAnsi="Lucida Bright"/>
        </w:rPr>
        <w:t>(the Joint Committee on Human Rights in 2006/07</w:t>
      </w:r>
      <w:r w:rsidR="00EC74A3">
        <w:rPr>
          <w:rStyle w:val="FootnoteReference"/>
          <w:rFonts w:ascii="Lucida Bright" w:hAnsi="Lucida Bright"/>
        </w:rPr>
        <w:footnoteReference w:id="1"/>
      </w:r>
      <w:r w:rsidRPr="00EC74A3">
        <w:rPr>
          <w:rFonts w:ascii="Lucida Bright" w:hAnsi="Lucida Bright"/>
        </w:rPr>
        <w:t xml:space="preserve"> and</w:t>
      </w:r>
      <w:r w:rsidR="00EC74A3" w:rsidRPr="00EC74A3">
        <w:rPr>
          <w:rFonts w:ascii="Lucida Bright" w:hAnsi="Lucida Bright"/>
        </w:rPr>
        <w:t xml:space="preserve"> jointly by </w:t>
      </w:r>
      <w:r w:rsidRPr="00EC74A3">
        <w:rPr>
          <w:rFonts w:ascii="Lucida Bright" w:hAnsi="Lucida Bright"/>
        </w:rPr>
        <w:t xml:space="preserve">the </w:t>
      </w:r>
      <w:r w:rsidR="00EC74A3" w:rsidRPr="00EC74A3">
        <w:rPr>
          <w:rFonts w:ascii="Lucida Bright" w:hAnsi="Lucida Bright"/>
        </w:rPr>
        <w:t>APP</w:t>
      </w:r>
      <w:r w:rsidR="00E6723F">
        <w:rPr>
          <w:rFonts w:ascii="Lucida Bright" w:hAnsi="Lucida Bright"/>
        </w:rPr>
        <w:t>G</w:t>
      </w:r>
      <w:r w:rsidRPr="00EC74A3">
        <w:rPr>
          <w:rFonts w:ascii="Lucida Bright" w:hAnsi="Lucida Bright"/>
        </w:rPr>
        <w:t xml:space="preserve"> on Refugees and </w:t>
      </w:r>
      <w:r w:rsidR="00EC74A3" w:rsidRPr="00EC74A3">
        <w:rPr>
          <w:rFonts w:ascii="Lucida Bright" w:hAnsi="Lucida Bright"/>
        </w:rPr>
        <w:t>APP</w:t>
      </w:r>
      <w:r w:rsidR="00E6723F">
        <w:rPr>
          <w:rFonts w:ascii="Lucida Bright" w:hAnsi="Lucida Bright"/>
        </w:rPr>
        <w:t>G</w:t>
      </w:r>
      <w:r w:rsidRPr="00EC74A3">
        <w:rPr>
          <w:rFonts w:ascii="Lucida Bright" w:hAnsi="Lucida Bright"/>
        </w:rPr>
        <w:t xml:space="preserve"> on Migration </w:t>
      </w:r>
      <w:r w:rsidR="00EC74A3" w:rsidRPr="00EC74A3">
        <w:rPr>
          <w:rFonts w:ascii="Lucida Bright" w:hAnsi="Lucida Bright"/>
        </w:rPr>
        <w:t>in 2014/15</w:t>
      </w:r>
      <w:r w:rsidR="00EC74A3">
        <w:rPr>
          <w:rStyle w:val="FootnoteReference"/>
          <w:rFonts w:ascii="Lucida Bright" w:hAnsi="Lucida Bright"/>
        </w:rPr>
        <w:footnoteReference w:id="2"/>
      </w:r>
      <w:r w:rsidR="00EC74A3" w:rsidRPr="00EC74A3">
        <w:rPr>
          <w:rFonts w:ascii="Lucida Bright" w:hAnsi="Lucida Bright"/>
        </w:rPr>
        <w:t>)</w:t>
      </w:r>
      <w:r w:rsidR="00EC74A3">
        <w:rPr>
          <w:rFonts w:ascii="Lucida Bright" w:hAnsi="Lucida Bright"/>
          <w:b/>
        </w:rPr>
        <w:t xml:space="preserve"> </w:t>
      </w:r>
      <w:r w:rsidRPr="002079AD">
        <w:rPr>
          <w:rFonts w:ascii="Lucida Bright" w:hAnsi="Lucida Bright"/>
        </w:rPr>
        <w:t xml:space="preserve">which examined the UK’s practice of indefinite immigration detention have recommended a 28 day time limit. They considered this to be reasonably achievable by the Home Office. </w:t>
      </w:r>
      <w:r w:rsidR="00EC74A3">
        <w:rPr>
          <w:rFonts w:ascii="Lucida Bright" w:hAnsi="Lucida Bright"/>
        </w:rPr>
        <w:t xml:space="preserve">There is now a real political momentum behind this call. </w:t>
      </w:r>
    </w:p>
    <w:p w14:paraId="5296CEF8" w14:textId="77777777" w:rsidR="007127DB" w:rsidRPr="002079AD" w:rsidRDefault="007127DB" w:rsidP="007127DB">
      <w:pPr>
        <w:spacing w:after="0" w:line="240" w:lineRule="exact"/>
        <w:rPr>
          <w:rFonts w:ascii="Lucida Bright" w:hAnsi="Lucida Bright"/>
        </w:rPr>
      </w:pPr>
    </w:p>
    <w:p w14:paraId="199668AB" w14:textId="3C9B6D5F" w:rsidR="002079AD" w:rsidRDefault="002079AD" w:rsidP="007127DB">
      <w:pPr>
        <w:spacing w:after="0" w:line="240" w:lineRule="exact"/>
        <w:rPr>
          <w:rFonts w:ascii="Lucida Bright" w:hAnsi="Lucida Bright"/>
        </w:rPr>
      </w:pPr>
      <w:r w:rsidRPr="00EC74A3">
        <w:rPr>
          <w:rFonts w:ascii="Lucida Bright" w:hAnsi="Lucida Bright"/>
        </w:rPr>
        <w:t xml:space="preserve">Detention generally has a damaging mental health impact, but after 30 days of incarceration there is a marked rise in </w:t>
      </w:r>
      <w:r w:rsidR="00E6723F">
        <w:rPr>
          <w:rFonts w:ascii="Lucida Bright" w:hAnsi="Lucida Bright"/>
        </w:rPr>
        <w:t>the</w:t>
      </w:r>
      <w:r w:rsidR="00E6723F" w:rsidRPr="00EC74A3">
        <w:rPr>
          <w:rFonts w:ascii="Lucida Bright" w:hAnsi="Lucida Bright"/>
        </w:rPr>
        <w:t xml:space="preserve"> </w:t>
      </w:r>
      <w:r w:rsidRPr="00EC74A3">
        <w:rPr>
          <w:rFonts w:ascii="Lucida Bright" w:hAnsi="Lucida Bright"/>
        </w:rPr>
        <w:t>severity of harm</w:t>
      </w:r>
      <w:r w:rsidR="00E6723F">
        <w:rPr>
          <w:rFonts w:ascii="Lucida Bright" w:hAnsi="Lucida Bright"/>
        </w:rPr>
        <w:t xml:space="preserve"> caused</w:t>
      </w:r>
      <w:r w:rsidRPr="00EC74A3">
        <w:rPr>
          <w:rFonts w:ascii="Lucida Bright" w:hAnsi="Lucida Bright"/>
        </w:rPr>
        <w:t>. Setting a time limit under 30 days can protect people from this particularly significant level of harm</w:t>
      </w:r>
      <w:r w:rsidR="00EC74A3">
        <w:rPr>
          <w:rStyle w:val="FootnoteReference"/>
          <w:rFonts w:ascii="Lucida Bright" w:hAnsi="Lucida Bright"/>
        </w:rPr>
        <w:footnoteReference w:id="3"/>
      </w:r>
      <w:r w:rsidRPr="00EC74A3">
        <w:rPr>
          <w:rFonts w:ascii="Lucida Bright" w:hAnsi="Lucida Bright"/>
        </w:rPr>
        <w:t xml:space="preserve">. </w:t>
      </w:r>
      <w:r w:rsidR="00B47FE5">
        <w:rPr>
          <w:rFonts w:ascii="Lucida Bright" w:hAnsi="Lucida Bright"/>
        </w:rPr>
        <w:t xml:space="preserve">People with previous, spent, convictions are particularly vulnerable to long-term detention. </w:t>
      </w:r>
      <w:r w:rsidRPr="00EC74A3">
        <w:rPr>
          <w:rFonts w:ascii="Lucida Bright" w:hAnsi="Lucida Bright"/>
        </w:rPr>
        <w:t xml:space="preserve"> </w:t>
      </w:r>
    </w:p>
    <w:p w14:paraId="7E8ED522" w14:textId="77777777" w:rsidR="007127DB" w:rsidRDefault="007127DB" w:rsidP="007127DB">
      <w:pPr>
        <w:spacing w:after="0" w:line="240" w:lineRule="exact"/>
        <w:rPr>
          <w:rFonts w:ascii="Lucida Bright" w:hAnsi="Lucida Bright"/>
        </w:rPr>
      </w:pPr>
    </w:p>
    <w:p w14:paraId="59147769" w14:textId="214F6606" w:rsidR="00EC74A3" w:rsidRDefault="00EC74A3" w:rsidP="003B3AE9">
      <w:pPr>
        <w:spacing w:after="0" w:line="240" w:lineRule="exact"/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>A 28 day</w:t>
      </w:r>
      <w:r w:rsidRPr="00EC74A3">
        <w:rPr>
          <w:rFonts w:ascii="Lucida Bright" w:hAnsi="Lucida Bright"/>
        </w:rPr>
        <w:t xml:space="preserve"> time limit can reduce the UK’s use of detention both in </w:t>
      </w:r>
      <w:r w:rsidR="00E66536">
        <w:rPr>
          <w:rFonts w:ascii="Lucida Bright" w:hAnsi="Lucida Bright"/>
        </w:rPr>
        <w:t>scale and length. O</w:t>
      </w:r>
      <w:r w:rsidRPr="00EC74A3">
        <w:rPr>
          <w:rFonts w:ascii="Lucida Bright" w:hAnsi="Lucida Bright"/>
        </w:rPr>
        <w:t xml:space="preserve">n 31 March 2018, there were a total of 2,469 people detained in Immigration Removal Centres (excludes individuals who were detained in prisons on that day). If there were a 28 day time limit, 55% of those who were detained on that day (1,348 people) would not have been there, indicating </w:t>
      </w:r>
      <w:r w:rsidR="00E6723F">
        <w:rPr>
          <w:rFonts w:ascii="Lucida Bright" w:hAnsi="Lucida Bright"/>
        </w:rPr>
        <w:t>the</w:t>
      </w:r>
      <w:r w:rsidRPr="00EC74A3">
        <w:rPr>
          <w:rFonts w:ascii="Lucida Bright" w:hAnsi="Lucida Bright"/>
        </w:rPr>
        <w:t xml:space="preserve"> significan</w:t>
      </w:r>
      <w:r w:rsidR="00E6723F">
        <w:rPr>
          <w:rFonts w:ascii="Lucida Bright" w:hAnsi="Lucida Bright"/>
        </w:rPr>
        <w:t>t</w:t>
      </w:r>
      <w:r w:rsidRPr="00EC74A3">
        <w:rPr>
          <w:rFonts w:ascii="Lucida Bright" w:hAnsi="Lucida Bright"/>
        </w:rPr>
        <w:t xml:space="preserve"> difference a 28 day time limit will make.</w:t>
      </w:r>
      <w:r>
        <w:rPr>
          <w:rFonts w:ascii="Lucida Bright" w:hAnsi="Lucida Bright"/>
        </w:rPr>
        <w:t xml:space="preserve"> Longer time limits will fall </w:t>
      </w:r>
      <w:r w:rsidRPr="00EC74A3">
        <w:rPr>
          <w:rFonts w:ascii="Lucida Bright" w:hAnsi="Lucida Bright"/>
        </w:rPr>
        <w:t xml:space="preserve">far short of a radical change. </w:t>
      </w:r>
    </w:p>
    <w:p w14:paraId="73EDD39C" w14:textId="77777777" w:rsidR="00E66536" w:rsidRPr="00EC74A3" w:rsidRDefault="00E66536" w:rsidP="003B3AE9">
      <w:pPr>
        <w:spacing w:after="0" w:line="240" w:lineRule="exact"/>
        <w:rPr>
          <w:rFonts w:ascii="Lucida Bright" w:hAnsi="Lucida Bright"/>
        </w:rPr>
      </w:pPr>
    </w:p>
    <w:p w14:paraId="69D52897" w14:textId="22CF7CA5" w:rsidR="00EC74A3" w:rsidRDefault="00E66536" w:rsidP="003B3AE9">
      <w:pPr>
        <w:spacing w:after="0" w:line="240" w:lineRule="exact"/>
        <w:rPr>
          <w:rFonts w:ascii="Lucida Bright" w:hAnsi="Lucida Bright"/>
        </w:rPr>
      </w:pPr>
      <w:r>
        <w:rPr>
          <w:rFonts w:ascii="Lucida Bright" w:hAnsi="Lucida Bright"/>
        </w:rPr>
        <w:t>T</w:t>
      </w:r>
      <w:r w:rsidR="00EC74A3" w:rsidRPr="00EC74A3">
        <w:rPr>
          <w:rFonts w:ascii="Lucida Bright" w:hAnsi="Lucida Bright"/>
        </w:rPr>
        <w:t xml:space="preserve">here is already a much shorter detention time limit of 72 hours for </w:t>
      </w:r>
      <w:r w:rsidR="003B3AE9">
        <w:rPr>
          <w:rFonts w:ascii="Lucida Bright" w:hAnsi="Lucida Bright"/>
        </w:rPr>
        <w:t xml:space="preserve">specific categories of </w:t>
      </w:r>
      <w:r w:rsidR="00EC74A3" w:rsidRPr="00EC74A3">
        <w:rPr>
          <w:rFonts w:ascii="Lucida Bright" w:hAnsi="Lucida Bright"/>
        </w:rPr>
        <w:t xml:space="preserve">individuals who have very complex cases or have vulnerabilities, such as </w:t>
      </w:r>
      <w:r w:rsidR="003B3AE9">
        <w:rPr>
          <w:rFonts w:ascii="Lucida Bright" w:hAnsi="Lucida Bright"/>
        </w:rPr>
        <w:t>families</w:t>
      </w:r>
      <w:r w:rsidR="00EC74A3" w:rsidRPr="00EC74A3">
        <w:rPr>
          <w:rFonts w:ascii="Lucida Bright" w:hAnsi="Lucida Bright"/>
        </w:rPr>
        <w:t xml:space="preserve"> with </w:t>
      </w:r>
      <w:r w:rsidR="003B3AE9">
        <w:rPr>
          <w:rFonts w:ascii="Lucida Bright" w:hAnsi="Lucida Bright"/>
        </w:rPr>
        <w:t>children</w:t>
      </w:r>
      <w:r w:rsidR="00EC74A3" w:rsidRPr="00EC74A3">
        <w:rPr>
          <w:rFonts w:ascii="Lucida Bright" w:hAnsi="Lucida Bright"/>
        </w:rPr>
        <w:t xml:space="preserve"> (those in </w:t>
      </w:r>
      <w:r w:rsidR="00E6723F">
        <w:rPr>
          <w:rFonts w:ascii="Lucida Bright" w:hAnsi="Lucida Bright"/>
        </w:rPr>
        <w:t xml:space="preserve">the </w:t>
      </w:r>
      <w:r w:rsidR="00EC74A3" w:rsidRPr="00EC74A3">
        <w:rPr>
          <w:rFonts w:ascii="Lucida Bright" w:hAnsi="Lucida Bright"/>
        </w:rPr>
        <w:t>Family Returns</w:t>
      </w:r>
      <w:r>
        <w:rPr>
          <w:rFonts w:ascii="Lucida Bright" w:hAnsi="Lucida Bright"/>
        </w:rPr>
        <w:t xml:space="preserve"> Procedure) and pregnant women. </w:t>
      </w:r>
      <w:r w:rsidR="003B3AE9">
        <w:rPr>
          <w:rFonts w:ascii="Lucida Bright" w:hAnsi="Lucida Bright"/>
        </w:rPr>
        <w:t>Therefore t</w:t>
      </w:r>
      <w:r w:rsidR="00EC74A3" w:rsidRPr="00EC74A3">
        <w:rPr>
          <w:rFonts w:ascii="Lucida Bright" w:hAnsi="Lucida Bright"/>
        </w:rPr>
        <w:t>he Government has already demonstrated that if there is</w:t>
      </w:r>
      <w:r w:rsidR="003B3AE9">
        <w:rPr>
          <w:rFonts w:ascii="Lucida Bright" w:hAnsi="Lucida Bright"/>
        </w:rPr>
        <w:t xml:space="preserve"> a will to do so, they can even</w:t>
      </w:r>
      <w:r w:rsidR="00EC74A3" w:rsidRPr="00EC74A3">
        <w:rPr>
          <w:rFonts w:ascii="Lucida Bright" w:hAnsi="Lucida Bright"/>
        </w:rPr>
        <w:t xml:space="preserve"> introduce a time limit</w:t>
      </w:r>
      <w:r w:rsidR="003B3AE9">
        <w:rPr>
          <w:rFonts w:ascii="Lucida Bright" w:hAnsi="Lucida Bright"/>
        </w:rPr>
        <w:t xml:space="preserve"> that</w:t>
      </w:r>
      <w:r w:rsidR="00013293">
        <w:rPr>
          <w:rFonts w:ascii="Lucida Bright" w:hAnsi="Lucida Bright"/>
        </w:rPr>
        <w:t xml:space="preserve"> is much shorter than 28 days. </w:t>
      </w:r>
      <w:r w:rsidR="00013293" w:rsidRPr="00013293">
        <w:rPr>
          <w:rFonts w:ascii="Lucida Bright" w:hAnsi="Lucida Bright"/>
          <w:b/>
        </w:rPr>
        <w:t>If you have any questions about any of the above, please do get in touch with us.</w:t>
      </w:r>
      <w:r w:rsidR="00013293">
        <w:rPr>
          <w:rFonts w:ascii="Lucida Bright" w:hAnsi="Lucida Bright"/>
        </w:rPr>
        <w:t xml:space="preserve"> </w:t>
      </w:r>
    </w:p>
    <w:p w14:paraId="6A28E808" w14:textId="77777777" w:rsidR="007127DB" w:rsidRDefault="007127DB" w:rsidP="003B3AE9">
      <w:pPr>
        <w:spacing w:after="0" w:line="240" w:lineRule="exact"/>
        <w:rPr>
          <w:rFonts w:ascii="Lucida Bright" w:hAnsi="Lucida Bright"/>
        </w:rPr>
      </w:pPr>
    </w:p>
    <w:p w14:paraId="3E5A5FFC" w14:textId="341C3388" w:rsidR="007127DB" w:rsidRDefault="007127DB" w:rsidP="003B3AE9">
      <w:pPr>
        <w:spacing w:after="0" w:line="240" w:lineRule="exact"/>
        <w:rPr>
          <w:rFonts w:ascii="Lucida Bright" w:hAnsi="Lucida Bright"/>
          <w:b/>
        </w:rPr>
      </w:pPr>
      <w:r w:rsidRPr="007127DB">
        <w:rPr>
          <w:rFonts w:ascii="Lucida Bright" w:hAnsi="Lucida Bright"/>
          <w:b/>
        </w:rPr>
        <w:t xml:space="preserve">3) </w:t>
      </w:r>
      <w:r w:rsidR="00E66536">
        <w:rPr>
          <w:rFonts w:ascii="Lucida Bright" w:hAnsi="Lucida Bright"/>
          <w:b/>
        </w:rPr>
        <w:t>Dealing with practical questions</w:t>
      </w:r>
      <w:r w:rsidRPr="007127DB">
        <w:rPr>
          <w:rFonts w:ascii="Lucida Bright" w:hAnsi="Lucida Bright"/>
          <w:b/>
        </w:rPr>
        <w:t xml:space="preserve"> in advance</w:t>
      </w:r>
      <w:r w:rsidR="00D74127">
        <w:rPr>
          <w:rFonts w:ascii="Lucida Bright" w:hAnsi="Lucida Bright"/>
          <w:b/>
        </w:rPr>
        <w:t>.</w:t>
      </w:r>
    </w:p>
    <w:p w14:paraId="0E152571" w14:textId="77777777" w:rsidR="007127DB" w:rsidRDefault="007127DB" w:rsidP="003B3AE9">
      <w:pPr>
        <w:spacing w:after="0" w:line="240" w:lineRule="exact"/>
        <w:rPr>
          <w:rFonts w:ascii="Lucida Bright" w:hAnsi="Lucida Bright"/>
          <w:b/>
        </w:rPr>
      </w:pPr>
    </w:p>
    <w:p w14:paraId="5C4A19BF" w14:textId="69BF660D" w:rsidR="007127DB" w:rsidRDefault="007127DB" w:rsidP="003B3AE9">
      <w:pPr>
        <w:spacing w:after="0" w:line="240" w:lineRule="exact"/>
        <w:rPr>
          <w:rFonts w:ascii="Lucida Bright" w:hAnsi="Lucida Bright"/>
        </w:rPr>
      </w:pPr>
      <w:r>
        <w:rPr>
          <w:rFonts w:ascii="Lucida Bright" w:hAnsi="Lucida Bright"/>
        </w:rPr>
        <w:t xml:space="preserve">There are practical questions </w:t>
      </w:r>
      <w:r w:rsidR="003B3AE9">
        <w:rPr>
          <w:rFonts w:ascii="Lucida Bright" w:hAnsi="Lucida Bright"/>
        </w:rPr>
        <w:t xml:space="preserve">that are likely </w:t>
      </w:r>
      <w:r>
        <w:rPr>
          <w:rFonts w:ascii="Lucida Bright" w:hAnsi="Lucida Bright"/>
        </w:rPr>
        <w:t>to be asked beyond a call for a 28 day time limit</w:t>
      </w:r>
      <w:r w:rsidR="003B3AE9">
        <w:rPr>
          <w:rFonts w:ascii="Lucida Bright" w:hAnsi="Lucida Bright"/>
        </w:rPr>
        <w:t xml:space="preserve"> by other parliamentarians</w:t>
      </w:r>
      <w:r>
        <w:rPr>
          <w:rFonts w:ascii="Lucida Bright" w:hAnsi="Lucida Bright"/>
        </w:rPr>
        <w:t xml:space="preserve">. We need to </w:t>
      </w:r>
      <w:r w:rsidR="003B3AE9">
        <w:rPr>
          <w:rFonts w:ascii="Lucida Bright" w:hAnsi="Lucida Bright"/>
        </w:rPr>
        <w:t xml:space="preserve">investigate and </w:t>
      </w:r>
      <w:r>
        <w:rPr>
          <w:rFonts w:ascii="Lucida Bright" w:hAnsi="Lucida Bright"/>
        </w:rPr>
        <w:t xml:space="preserve">resolve them before the Immigration Bill process commences. </w:t>
      </w:r>
      <w:r w:rsidR="003B3AE9">
        <w:rPr>
          <w:rFonts w:ascii="Lucida Bright" w:hAnsi="Lucida Bright"/>
        </w:rPr>
        <w:t>We might receive questions such as</w:t>
      </w:r>
      <w:r>
        <w:rPr>
          <w:rFonts w:ascii="Lucida Bright" w:hAnsi="Lucida Bright"/>
        </w:rPr>
        <w:t>:</w:t>
      </w:r>
    </w:p>
    <w:p w14:paraId="05A39D84" w14:textId="77777777" w:rsidR="007127DB" w:rsidRDefault="007127DB" w:rsidP="003B3AE9">
      <w:pPr>
        <w:spacing w:after="0" w:line="240" w:lineRule="exact"/>
        <w:rPr>
          <w:rFonts w:ascii="Lucida Bright" w:hAnsi="Lucida Bright"/>
        </w:rPr>
      </w:pPr>
    </w:p>
    <w:p w14:paraId="091BDA4C" w14:textId="77777777" w:rsidR="003B3AE9" w:rsidRDefault="003B3AE9" w:rsidP="003B3AE9">
      <w:pPr>
        <w:pStyle w:val="ListParagraph"/>
        <w:numPr>
          <w:ilvl w:val="0"/>
          <w:numId w:val="17"/>
        </w:numPr>
        <w:spacing w:after="0" w:line="240" w:lineRule="exact"/>
        <w:rPr>
          <w:rFonts w:ascii="Lucida Bright" w:hAnsi="Lucida Bright"/>
        </w:rPr>
      </w:pPr>
      <w:r>
        <w:rPr>
          <w:rFonts w:ascii="Lucida Bright" w:hAnsi="Lucida Bright"/>
        </w:rPr>
        <w:t>Should it</w:t>
      </w:r>
      <w:r w:rsidR="007127DB">
        <w:rPr>
          <w:rFonts w:ascii="Lucida Bright" w:hAnsi="Lucida Bright"/>
        </w:rPr>
        <w:t xml:space="preserve"> be possible for the Home Office to extend the 28 day time limit for some truly exceptional cases? If so, what oversight process will be in place?</w:t>
      </w:r>
    </w:p>
    <w:p w14:paraId="47120167" w14:textId="64667304" w:rsidR="007127DB" w:rsidRPr="003B3AE9" w:rsidRDefault="003B3AE9" w:rsidP="003B3AE9">
      <w:pPr>
        <w:pStyle w:val="ListParagraph"/>
        <w:numPr>
          <w:ilvl w:val="0"/>
          <w:numId w:val="17"/>
        </w:numPr>
        <w:spacing w:after="0" w:line="240" w:lineRule="exact"/>
        <w:rPr>
          <w:rFonts w:ascii="Lucida Bright" w:hAnsi="Lucida Bright"/>
        </w:rPr>
      </w:pPr>
      <w:r>
        <w:rPr>
          <w:rFonts w:ascii="Lucida Bright" w:hAnsi="Lucida Bright"/>
        </w:rPr>
        <w:t>Could</w:t>
      </w:r>
      <w:r w:rsidR="007127DB" w:rsidRPr="003B3AE9">
        <w:rPr>
          <w:rFonts w:ascii="Lucida Bright" w:hAnsi="Lucida Bright"/>
        </w:rPr>
        <w:t xml:space="preserve"> the time limit be rendered meaningless if the Home Office re-detains individuals repeatedly for a protracted period of time? What safeguarding mechanisms should be in place to prevent such incidents?</w:t>
      </w:r>
    </w:p>
    <w:p w14:paraId="04C274A2" w14:textId="6EBADE15" w:rsidR="007127DB" w:rsidRDefault="007127DB" w:rsidP="003B3AE9">
      <w:pPr>
        <w:pStyle w:val="ListParagraph"/>
        <w:numPr>
          <w:ilvl w:val="0"/>
          <w:numId w:val="17"/>
        </w:numPr>
        <w:spacing w:after="0" w:line="240" w:lineRule="exact"/>
        <w:rPr>
          <w:rFonts w:ascii="Lucida Bright" w:hAnsi="Lucida Bright"/>
        </w:rPr>
      </w:pPr>
      <w:r>
        <w:rPr>
          <w:rFonts w:ascii="Lucida Bright" w:hAnsi="Lucida Bright"/>
        </w:rPr>
        <w:t xml:space="preserve">Is there going to be </w:t>
      </w:r>
      <w:r w:rsidR="003B3AE9">
        <w:rPr>
          <w:rFonts w:ascii="Lucida Bright" w:hAnsi="Lucida Bright"/>
        </w:rPr>
        <w:t xml:space="preserve">a </w:t>
      </w:r>
      <w:r>
        <w:rPr>
          <w:rFonts w:ascii="Lucida Bright" w:hAnsi="Lucida Bright"/>
        </w:rPr>
        <w:t>connection between a time limit framework and community-based alternatives to detention schemes for those who are released after the time limit has been reached?</w:t>
      </w:r>
    </w:p>
    <w:p w14:paraId="65866D01" w14:textId="5A43E8DF" w:rsidR="007127DB" w:rsidRPr="007127DB" w:rsidRDefault="007127DB" w:rsidP="003B3AE9">
      <w:pPr>
        <w:pStyle w:val="ListParagraph"/>
        <w:numPr>
          <w:ilvl w:val="0"/>
          <w:numId w:val="17"/>
        </w:numPr>
        <w:spacing w:after="0" w:line="240" w:lineRule="exact"/>
        <w:rPr>
          <w:rFonts w:ascii="Lucida Bright" w:hAnsi="Lucida Bright"/>
        </w:rPr>
      </w:pPr>
      <w:r>
        <w:rPr>
          <w:rFonts w:ascii="Lucida Bright" w:hAnsi="Lucida Bright"/>
        </w:rPr>
        <w:t>Will there be any special procedure</w:t>
      </w:r>
      <w:r w:rsidR="003B3AE9">
        <w:rPr>
          <w:rFonts w:ascii="Lucida Bright" w:hAnsi="Lucida Bright"/>
        </w:rPr>
        <w:t>s</w:t>
      </w:r>
      <w:r>
        <w:rPr>
          <w:rFonts w:ascii="Lucida Bright" w:hAnsi="Lucida Bright"/>
        </w:rPr>
        <w:t xml:space="preserve"> for individuals with previous convictions whose detention reach the time limit</w:t>
      </w:r>
      <w:r w:rsidR="003B3AE9">
        <w:rPr>
          <w:rFonts w:ascii="Lucida Bright" w:hAnsi="Lucida Bright"/>
        </w:rPr>
        <w:t xml:space="preserve"> for public protection reasons</w:t>
      </w:r>
      <w:r>
        <w:rPr>
          <w:rFonts w:ascii="Lucida Bright" w:hAnsi="Lucida Bright"/>
        </w:rPr>
        <w:t>?</w:t>
      </w:r>
    </w:p>
    <w:p w14:paraId="498021D7" w14:textId="77777777" w:rsidR="001D2ADE" w:rsidRDefault="001D2ADE" w:rsidP="003B3AE9">
      <w:pPr>
        <w:spacing w:after="0" w:line="240" w:lineRule="exact"/>
        <w:rPr>
          <w:rFonts w:ascii="Lucida Bright" w:hAnsi="Lucida Bright"/>
        </w:rPr>
      </w:pPr>
    </w:p>
    <w:p w14:paraId="2524ECC7" w14:textId="7A4999CF" w:rsidR="00EC74A3" w:rsidRDefault="007127DB" w:rsidP="00013293">
      <w:pPr>
        <w:spacing w:after="0" w:line="240" w:lineRule="exact"/>
        <w:rPr>
          <w:rFonts w:ascii="Lucida Bright" w:hAnsi="Lucida Bright"/>
          <w:b/>
        </w:rPr>
      </w:pPr>
      <w:r w:rsidRPr="00013293">
        <w:rPr>
          <w:rFonts w:ascii="Lucida Bright" w:hAnsi="Lucida Bright"/>
          <w:b/>
        </w:rPr>
        <w:t xml:space="preserve">We would like you to send us any other questions you </w:t>
      </w:r>
      <w:r w:rsidR="003B3AE9">
        <w:rPr>
          <w:rFonts w:ascii="Lucida Bright" w:hAnsi="Lucida Bright"/>
          <w:b/>
        </w:rPr>
        <w:t xml:space="preserve">or your colleagues </w:t>
      </w:r>
      <w:r w:rsidRPr="00013293">
        <w:rPr>
          <w:rFonts w:ascii="Lucida Bright" w:hAnsi="Lucida Bright"/>
          <w:b/>
        </w:rPr>
        <w:t xml:space="preserve">might have so that we can prepare responses. </w:t>
      </w:r>
    </w:p>
    <w:p w14:paraId="0811ABB4" w14:textId="77777777" w:rsidR="00013293" w:rsidRDefault="00013293" w:rsidP="00013293">
      <w:pPr>
        <w:spacing w:after="0" w:line="240" w:lineRule="exact"/>
        <w:rPr>
          <w:rFonts w:ascii="Lucida Bright" w:hAnsi="Lucida Bright"/>
          <w:b/>
        </w:rPr>
      </w:pPr>
    </w:p>
    <w:p w14:paraId="28F4DAA1" w14:textId="38F1B210" w:rsidR="00013293" w:rsidRDefault="00013293" w:rsidP="00013293">
      <w:pPr>
        <w:spacing w:after="0" w:line="240" w:lineRule="exact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4) </w:t>
      </w:r>
      <w:r w:rsidR="00206F9E">
        <w:rPr>
          <w:rFonts w:ascii="Lucida Bright" w:hAnsi="Lucida Bright"/>
          <w:b/>
        </w:rPr>
        <w:t>Future opportunities to push the agenda forward</w:t>
      </w:r>
      <w:r w:rsidR="00D74127">
        <w:rPr>
          <w:rFonts w:ascii="Lucida Bright" w:hAnsi="Lucida Bright"/>
          <w:b/>
        </w:rPr>
        <w:t>.</w:t>
      </w:r>
    </w:p>
    <w:p w14:paraId="43A96736" w14:textId="77777777" w:rsidR="00E66536" w:rsidRDefault="00E66536" w:rsidP="00013293">
      <w:pPr>
        <w:spacing w:after="0" w:line="240" w:lineRule="exact"/>
        <w:rPr>
          <w:rFonts w:ascii="Lucida Bright" w:hAnsi="Lucida Bright"/>
          <w:b/>
        </w:rPr>
      </w:pPr>
    </w:p>
    <w:p w14:paraId="325D224C" w14:textId="770163E3" w:rsidR="00206F9E" w:rsidRDefault="00206F9E" w:rsidP="00206F9E">
      <w:pPr>
        <w:spacing w:after="0" w:line="240" w:lineRule="exact"/>
        <w:rPr>
          <w:rFonts w:ascii="Lucida Bright" w:hAnsi="Lucida Bright"/>
        </w:rPr>
      </w:pPr>
      <w:r>
        <w:rPr>
          <w:rFonts w:ascii="Lucida Bright" w:hAnsi="Lucida Bright"/>
        </w:rPr>
        <w:t xml:space="preserve">The second Shaw Review is likely to be published in mid July. </w:t>
      </w:r>
      <w:r w:rsidR="00BD4833">
        <w:rPr>
          <w:rFonts w:ascii="Lucida Bright" w:hAnsi="Lucida Bright"/>
        </w:rPr>
        <w:t>Our short summary of the first review</w:t>
      </w:r>
      <w:r w:rsidR="003B3AE9">
        <w:rPr>
          <w:rFonts w:ascii="Lucida Bright" w:hAnsi="Lucida Bright"/>
        </w:rPr>
        <w:t xml:space="preserve"> is</w:t>
      </w:r>
      <w:r w:rsidR="00BD4833">
        <w:rPr>
          <w:rFonts w:ascii="Lucida Bright" w:hAnsi="Lucida Bright"/>
        </w:rPr>
        <w:t xml:space="preserve"> </w:t>
      </w:r>
      <w:hyperlink r:id="rId9" w:history="1">
        <w:r w:rsidR="00BD4833" w:rsidRPr="00BD4833">
          <w:rPr>
            <w:rStyle w:val="Hyperlink"/>
            <w:rFonts w:ascii="Lucida Bright" w:hAnsi="Lucida Bright"/>
          </w:rPr>
          <w:t>here</w:t>
        </w:r>
      </w:hyperlink>
      <w:r w:rsidR="00BD4833">
        <w:rPr>
          <w:rFonts w:ascii="Lucida Bright" w:hAnsi="Lucida Bright"/>
        </w:rPr>
        <w:t xml:space="preserve">. </w:t>
      </w:r>
      <w:r w:rsidR="002B7255">
        <w:rPr>
          <w:rFonts w:ascii="Lucida Bright" w:hAnsi="Lucida Bright"/>
        </w:rPr>
        <w:t xml:space="preserve">One of the key weaknesses of the previous Shaw Review was </w:t>
      </w:r>
      <w:r w:rsidR="00E6723F">
        <w:rPr>
          <w:rFonts w:ascii="Lucida Bright" w:hAnsi="Lucida Bright"/>
        </w:rPr>
        <w:t xml:space="preserve">the </w:t>
      </w:r>
      <w:r w:rsidR="00D74127">
        <w:rPr>
          <w:rFonts w:ascii="Lucida Bright" w:hAnsi="Lucida Bright"/>
        </w:rPr>
        <w:t>absence of</w:t>
      </w:r>
      <w:r w:rsidR="002B7255">
        <w:rPr>
          <w:rFonts w:ascii="Lucida Bright" w:hAnsi="Lucida Bright"/>
        </w:rPr>
        <w:t xml:space="preserve"> formal, long-term </w:t>
      </w:r>
      <w:r w:rsidR="00D74127">
        <w:rPr>
          <w:rFonts w:ascii="Lucida Bright" w:hAnsi="Lucida Bright"/>
        </w:rPr>
        <w:t>accountability mechanism</w:t>
      </w:r>
      <w:r w:rsidR="00E6723F">
        <w:rPr>
          <w:rFonts w:ascii="Lucida Bright" w:hAnsi="Lucida Bright"/>
        </w:rPr>
        <w:t>s</w:t>
      </w:r>
      <w:r w:rsidR="00D74127">
        <w:rPr>
          <w:rFonts w:ascii="Lucida Bright" w:hAnsi="Lucida Bright"/>
        </w:rPr>
        <w:t xml:space="preserve"> </w:t>
      </w:r>
      <w:r w:rsidR="002B7255">
        <w:rPr>
          <w:rFonts w:ascii="Lucida Bright" w:hAnsi="Lucida Bright"/>
        </w:rPr>
        <w:t>after the report publication</w:t>
      </w:r>
      <w:r w:rsidR="00D74127">
        <w:rPr>
          <w:rFonts w:ascii="Lucida Bright" w:hAnsi="Lucida Bright"/>
        </w:rPr>
        <w:t>. A</w:t>
      </w:r>
      <w:r w:rsidR="002B7255">
        <w:rPr>
          <w:rFonts w:ascii="Lucida Bright" w:hAnsi="Lucida Bright"/>
        </w:rPr>
        <w:t xml:space="preserve">s a result, there was no </w:t>
      </w:r>
      <w:r w:rsidR="00D74127">
        <w:rPr>
          <w:rFonts w:ascii="Lucida Bright" w:hAnsi="Lucida Bright"/>
        </w:rPr>
        <w:t>consistent</w:t>
      </w:r>
      <w:r w:rsidR="003B3AE9">
        <w:rPr>
          <w:rFonts w:ascii="Lucida Bright" w:hAnsi="Lucida Bright"/>
        </w:rPr>
        <w:t xml:space="preserve"> scrutiny over whether or</w:t>
      </w:r>
      <w:r w:rsidR="002B7255">
        <w:rPr>
          <w:rFonts w:ascii="Lucida Bright" w:hAnsi="Lucida Bright"/>
        </w:rPr>
        <w:t xml:space="preserve"> what reforms </w:t>
      </w:r>
      <w:r w:rsidR="003B3AE9">
        <w:rPr>
          <w:rFonts w:ascii="Lucida Bright" w:hAnsi="Lucida Bright"/>
        </w:rPr>
        <w:t xml:space="preserve">the Home Office </w:t>
      </w:r>
      <w:r w:rsidR="002B7255">
        <w:rPr>
          <w:rFonts w:ascii="Lucida Bright" w:hAnsi="Lucida Bright"/>
        </w:rPr>
        <w:t>have implemented to reduce long-term detention</w:t>
      </w:r>
      <w:r w:rsidR="003B3AE9">
        <w:rPr>
          <w:rFonts w:ascii="Lucida Bright" w:hAnsi="Lucida Bright"/>
        </w:rPr>
        <w:t xml:space="preserve"> and address other problems</w:t>
      </w:r>
      <w:r w:rsidR="00D74127">
        <w:rPr>
          <w:rFonts w:ascii="Lucida Bright" w:hAnsi="Lucida Bright"/>
        </w:rPr>
        <w:t xml:space="preserve"> and </w:t>
      </w:r>
      <w:r w:rsidR="00E6723F">
        <w:rPr>
          <w:rFonts w:ascii="Lucida Bright" w:hAnsi="Lucida Bright"/>
        </w:rPr>
        <w:t xml:space="preserve">measure the </w:t>
      </w:r>
      <w:r w:rsidR="00D74127">
        <w:rPr>
          <w:rFonts w:ascii="Lucida Bright" w:hAnsi="Lucida Bright"/>
        </w:rPr>
        <w:t>impact achieved</w:t>
      </w:r>
      <w:r w:rsidR="002B7255">
        <w:rPr>
          <w:rFonts w:ascii="Lucida Bright" w:hAnsi="Lucida Bright"/>
        </w:rPr>
        <w:t xml:space="preserve">. </w:t>
      </w:r>
      <w:r w:rsidR="00D74127">
        <w:rPr>
          <w:rFonts w:ascii="Lucida Bright" w:hAnsi="Lucida Bright"/>
        </w:rPr>
        <w:t>A</w:t>
      </w:r>
      <w:r w:rsidR="00E6723F">
        <w:rPr>
          <w:rFonts w:ascii="Lucida Bright" w:hAnsi="Lucida Bright"/>
        </w:rPr>
        <w:t>n a</w:t>
      </w:r>
      <w:r w:rsidR="00D74127">
        <w:rPr>
          <w:rFonts w:ascii="Lucida Bright" w:hAnsi="Lucida Bright"/>
        </w:rPr>
        <w:t>dditional</w:t>
      </w:r>
      <w:r w:rsidR="002B7255">
        <w:rPr>
          <w:rFonts w:ascii="Lucida Bright" w:hAnsi="Lucida Bright"/>
        </w:rPr>
        <w:t xml:space="preserve"> risk </w:t>
      </w:r>
      <w:r w:rsidR="00D74127">
        <w:rPr>
          <w:rFonts w:ascii="Lucida Bright" w:hAnsi="Lucida Bright"/>
        </w:rPr>
        <w:t xml:space="preserve">now </w:t>
      </w:r>
      <w:r w:rsidR="002B7255">
        <w:rPr>
          <w:rFonts w:ascii="Lucida Bright" w:hAnsi="Lucida Bright"/>
        </w:rPr>
        <w:t xml:space="preserve">is that the </w:t>
      </w:r>
      <w:r w:rsidR="00D74127">
        <w:rPr>
          <w:rFonts w:ascii="Lucida Bright" w:hAnsi="Lucida Bright"/>
        </w:rPr>
        <w:t xml:space="preserve">second </w:t>
      </w:r>
      <w:r w:rsidR="002B7255">
        <w:rPr>
          <w:rFonts w:ascii="Lucida Bright" w:hAnsi="Lucida Bright"/>
        </w:rPr>
        <w:t xml:space="preserve">Review makes so many </w:t>
      </w:r>
      <w:r w:rsidR="003B3AE9">
        <w:rPr>
          <w:rFonts w:ascii="Lucida Bright" w:hAnsi="Lucida Bright"/>
        </w:rPr>
        <w:t xml:space="preserve">and wide-ranging </w:t>
      </w:r>
      <w:r w:rsidR="002B7255">
        <w:rPr>
          <w:rFonts w:ascii="Lucida Bright" w:hAnsi="Lucida Bright"/>
        </w:rPr>
        <w:t>recommenda</w:t>
      </w:r>
      <w:r w:rsidR="003B3AE9">
        <w:rPr>
          <w:rFonts w:ascii="Lucida Bright" w:hAnsi="Lucida Bright"/>
        </w:rPr>
        <w:t>tions that any follow-up work will be</w:t>
      </w:r>
      <w:r w:rsidR="002B7255">
        <w:rPr>
          <w:rFonts w:ascii="Lucida Bright" w:hAnsi="Lucida Bright"/>
        </w:rPr>
        <w:t xml:space="preserve"> conducted in a silo-ed manner</w:t>
      </w:r>
      <w:r w:rsidR="003B3AE9">
        <w:rPr>
          <w:rFonts w:ascii="Lucida Bright" w:hAnsi="Lucida Bright"/>
        </w:rPr>
        <w:t>, with</w:t>
      </w:r>
      <w:r w:rsidR="002B7255">
        <w:rPr>
          <w:rFonts w:ascii="Lucida Bright" w:hAnsi="Lucida Bright"/>
        </w:rPr>
        <w:t xml:space="preserve"> the question of indefinite detention </w:t>
      </w:r>
      <w:r w:rsidR="003B3AE9">
        <w:rPr>
          <w:rFonts w:ascii="Lucida Bright" w:hAnsi="Lucida Bright"/>
        </w:rPr>
        <w:t>being</w:t>
      </w:r>
      <w:r w:rsidR="002B7255">
        <w:rPr>
          <w:rFonts w:ascii="Lucida Bright" w:hAnsi="Lucida Bright"/>
        </w:rPr>
        <w:t xml:space="preserve"> buried under </w:t>
      </w:r>
      <w:r w:rsidR="003B3AE9">
        <w:rPr>
          <w:rFonts w:ascii="Lucida Bright" w:hAnsi="Lucida Bright"/>
        </w:rPr>
        <w:t>other</w:t>
      </w:r>
      <w:r w:rsidR="002B7255">
        <w:rPr>
          <w:rFonts w:ascii="Lucida Bright" w:hAnsi="Lucida Bright"/>
        </w:rPr>
        <w:t xml:space="preserve"> details</w:t>
      </w:r>
      <w:r w:rsidR="003B3AE9">
        <w:rPr>
          <w:rFonts w:ascii="Lucida Bright" w:hAnsi="Lucida Bright"/>
        </w:rPr>
        <w:t xml:space="preserve"> and remain</w:t>
      </w:r>
      <w:r w:rsidR="00E6723F">
        <w:rPr>
          <w:rFonts w:ascii="Lucida Bright" w:hAnsi="Lucida Bright"/>
        </w:rPr>
        <w:t>ing</w:t>
      </w:r>
      <w:r w:rsidR="003B3AE9">
        <w:rPr>
          <w:rFonts w:ascii="Lucida Bright" w:hAnsi="Lucida Bright"/>
        </w:rPr>
        <w:t xml:space="preserve"> unaddressed yet again</w:t>
      </w:r>
      <w:r w:rsidR="002B7255">
        <w:rPr>
          <w:rFonts w:ascii="Lucida Bright" w:hAnsi="Lucida Bright"/>
        </w:rPr>
        <w:t xml:space="preserve">. </w:t>
      </w:r>
    </w:p>
    <w:p w14:paraId="38397CAE" w14:textId="77777777" w:rsidR="00206F9E" w:rsidRDefault="00206F9E" w:rsidP="00206F9E">
      <w:pPr>
        <w:spacing w:after="0" w:line="240" w:lineRule="exact"/>
        <w:rPr>
          <w:rFonts w:ascii="Lucida Bright" w:hAnsi="Lucida Bright"/>
          <w:b/>
        </w:rPr>
      </w:pPr>
    </w:p>
    <w:p w14:paraId="68E6C36F" w14:textId="5E7B40A9" w:rsidR="00206F9E" w:rsidRDefault="00D74127" w:rsidP="00013293">
      <w:pPr>
        <w:spacing w:after="0" w:line="240" w:lineRule="exact"/>
        <w:rPr>
          <w:rFonts w:ascii="Lucida Bright" w:hAnsi="Lucida Bright"/>
        </w:rPr>
      </w:pPr>
      <w:r>
        <w:rPr>
          <w:rFonts w:ascii="Lucida Bright" w:hAnsi="Lucida Bright"/>
        </w:rPr>
        <w:t>Current</w:t>
      </w:r>
      <w:r w:rsidR="003B3AE9">
        <w:rPr>
          <w:rFonts w:ascii="Lucida Bright" w:hAnsi="Lucida Bright"/>
        </w:rPr>
        <w:t xml:space="preserve"> active interest in immigration detention in parliament</w:t>
      </w:r>
      <w:r>
        <w:rPr>
          <w:rFonts w:ascii="Lucida Bright" w:hAnsi="Lucida Bright"/>
        </w:rPr>
        <w:t xml:space="preserve"> needs to be sustained</w:t>
      </w:r>
      <w:r w:rsidR="003B3AE9">
        <w:rPr>
          <w:rFonts w:ascii="Lucida Bright" w:hAnsi="Lucida Bright"/>
        </w:rPr>
        <w:t>. T</w:t>
      </w:r>
      <w:r w:rsidR="00206F9E">
        <w:rPr>
          <w:rFonts w:ascii="Lucida Bright" w:hAnsi="Lucida Bright"/>
        </w:rPr>
        <w:t>he</w:t>
      </w:r>
      <w:r w:rsidR="002B7255">
        <w:rPr>
          <w:rFonts w:ascii="Lucida Bright" w:hAnsi="Lucida Bright"/>
        </w:rPr>
        <w:t>re is an ongoing inquiry into immigration detention by the</w:t>
      </w:r>
      <w:r w:rsidR="00206F9E">
        <w:rPr>
          <w:rFonts w:ascii="Lucida Bright" w:hAnsi="Lucida Bright"/>
        </w:rPr>
        <w:t xml:space="preserve"> Home Affairs </w:t>
      </w:r>
      <w:r w:rsidR="002B7255">
        <w:rPr>
          <w:rFonts w:ascii="Lucida Bright" w:hAnsi="Lucida Bright"/>
        </w:rPr>
        <w:t xml:space="preserve">Committee. Following its investigation into </w:t>
      </w:r>
      <w:r w:rsidR="00233C13">
        <w:rPr>
          <w:rFonts w:ascii="Lucida Bright" w:hAnsi="Lucida Bright"/>
        </w:rPr>
        <w:t xml:space="preserve">the </w:t>
      </w:r>
      <w:r w:rsidR="002B7255">
        <w:rPr>
          <w:rFonts w:ascii="Lucida Bright" w:hAnsi="Lucida Bright"/>
        </w:rPr>
        <w:t>detention of the Windrush generation, t</w:t>
      </w:r>
      <w:r w:rsidR="00206F9E">
        <w:rPr>
          <w:rFonts w:ascii="Lucida Bright" w:hAnsi="Lucida Bright"/>
        </w:rPr>
        <w:t xml:space="preserve">he Joint Committee on Human Rights </w:t>
      </w:r>
      <w:r w:rsidR="002B7255">
        <w:rPr>
          <w:rFonts w:ascii="Lucida Bright" w:hAnsi="Lucida Bright"/>
        </w:rPr>
        <w:t xml:space="preserve">has announced that it </w:t>
      </w:r>
      <w:r w:rsidR="00206F9E">
        <w:rPr>
          <w:rFonts w:ascii="Lucida Bright" w:hAnsi="Lucida Bright"/>
        </w:rPr>
        <w:t>will start a fresh inquiry into immigration detention in autumn</w:t>
      </w:r>
      <w:r>
        <w:rPr>
          <w:rFonts w:ascii="Lucida Bright" w:hAnsi="Lucida Bright"/>
        </w:rPr>
        <w:t>, including looking at</w:t>
      </w:r>
      <w:r w:rsidR="00233C13">
        <w:rPr>
          <w:rFonts w:ascii="Lucida Bright" w:hAnsi="Lucida Bright"/>
        </w:rPr>
        <w:t xml:space="preserve"> </w:t>
      </w:r>
      <w:r w:rsidR="002B7255">
        <w:rPr>
          <w:rFonts w:ascii="Lucida Bright" w:hAnsi="Lucida Bright"/>
        </w:rPr>
        <w:t xml:space="preserve">the lack of time limit. </w:t>
      </w:r>
      <w:r w:rsidR="00206F9E">
        <w:rPr>
          <w:rFonts w:ascii="Lucida Bright" w:hAnsi="Lucida Bright"/>
        </w:rPr>
        <w:t xml:space="preserve"> </w:t>
      </w:r>
    </w:p>
    <w:p w14:paraId="6EF8CD5C" w14:textId="77777777" w:rsidR="00233C13" w:rsidRDefault="00233C13" w:rsidP="00013293">
      <w:pPr>
        <w:spacing w:after="0" w:line="240" w:lineRule="exact"/>
        <w:rPr>
          <w:rFonts w:ascii="Lucida Bright" w:hAnsi="Lucida Bright"/>
        </w:rPr>
      </w:pPr>
    </w:p>
    <w:p w14:paraId="59EB446C" w14:textId="0B61FAB2" w:rsidR="00233C13" w:rsidRDefault="00233C13" w:rsidP="00013293">
      <w:pPr>
        <w:spacing w:after="0" w:line="240" w:lineRule="exact"/>
        <w:rPr>
          <w:rFonts w:ascii="Lucida Bright" w:hAnsi="Lucida Bright"/>
        </w:rPr>
      </w:pPr>
      <w:r>
        <w:rPr>
          <w:rFonts w:ascii="Lucida Bright" w:hAnsi="Lucida Bright"/>
        </w:rPr>
        <w:t xml:space="preserve">These are opportunities to join up these interests and concerns and channel the energy into achieving a 28 day time limit for all. </w:t>
      </w:r>
      <w:r w:rsidRPr="00295CC7">
        <w:rPr>
          <w:rFonts w:ascii="Lucida Bright" w:hAnsi="Lucida Bright"/>
          <w:b/>
        </w:rPr>
        <w:t>The Detention Forum</w:t>
      </w:r>
      <w:r w:rsidR="00ED6AB9" w:rsidRPr="00295CC7">
        <w:rPr>
          <w:rFonts w:ascii="Lucida Bright" w:hAnsi="Lucida Bright"/>
          <w:b/>
        </w:rPr>
        <w:t xml:space="preserve"> and our members are</w:t>
      </w:r>
      <w:r w:rsidRPr="00295CC7">
        <w:rPr>
          <w:rFonts w:ascii="Lucida Bright" w:hAnsi="Lucida Bright"/>
          <w:b/>
        </w:rPr>
        <w:t xml:space="preserve"> happy to provide further </w:t>
      </w:r>
      <w:r w:rsidR="00295CC7">
        <w:rPr>
          <w:rFonts w:ascii="Lucida Bright" w:hAnsi="Lucida Bright"/>
          <w:b/>
        </w:rPr>
        <w:t>bri</w:t>
      </w:r>
      <w:r w:rsidR="00E6723F">
        <w:rPr>
          <w:rFonts w:ascii="Lucida Bright" w:hAnsi="Lucida Bright"/>
          <w:b/>
        </w:rPr>
        <w:t>e</w:t>
      </w:r>
      <w:r w:rsidR="00295CC7">
        <w:rPr>
          <w:rFonts w:ascii="Lucida Bright" w:hAnsi="Lucida Bright"/>
          <w:b/>
        </w:rPr>
        <w:t>fing</w:t>
      </w:r>
      <w:r w:rsidRPr="00295CC7">
        <w:rPr>
          <w:rFonts w:ascii="Lucida Bright" w:hAnsi="Lucida Bright"/>
          <w:b/>
        </w:rPr>
        <w:t xml:space="preserve"> </w:t>
      </w:r>
      <w:r w:rsidR="00ED6AB9" w:rsidRPr="00295CC7">
        <w:rPr>
          <w:rFonts w:ascii="Lucida Bright" w:hAnsi="Lucida Bright"/>
          <w:b/>
        </w:rPr>
        <w:t xml:space="preserve">and guidance individually and at any </w:t>
      </w:r>
      <w:r w:rsidR="00295CC7">
        <w:rPr>
          <w:rFonts w:ascii="Lucida Bright" w:hAnsi="Lucida Bright"/>
          <w:b/>
        </w:rPr>
        <w:t xml:space="preserve">meetings. </w:t>
      </w:r>
    </w:p>
    <w:p w14:paraId="7FA8B6E2" w14:textId="77777777" w:rsidR="002B7255" w:rsidRDefault="002B7255" w:rsidP="00013293">
      <w:pPr>
        <w:spacing w:after="0" w:line="240" w:lineRule="exact"/>
        <w:rPr>
          <w:rFonts w:ascii="Lucida Bright" w:hAnsi="Lucida Bright"/>
        </w:rPr>
      </w:pPr>
    </w:p>
    <w:p w14:paraId="28B6632C" w14:textId="7A396558" w:rsidR="00E117C8" w:rsidRPr="002B7255" w:rsidRDefault="00ED6AB9" w:rsidP="00CF5631">
      <w:pPr>
        <w:spacing w:after="0" w:line="240" w:lineRule="exact"/>
        <w:jc w:val="right"/>
        <w:rPr>
          <w:rFonts w:ascii="Lucida Bright" w:hAnsi="Lucida Bright"/>
        </w:rPr>
      </w:pPr>
      <w:r>
        <w:rPr>
          <w:rFonts w:ascii="Lucida Bright" w:hAnsi="Lucida Bright"/>
        </w:rPr>
        <w:t xml:space="preserve">Contact: </w:t>
      </w:r>
      <w:r w:rsidR="002B7255">
        <w:rPr>
          <w:rFonts w:ascii="Lucida Bright" w:hAnsi="Lucida Bright"/>
        </w:rPr>
        <w:t>Eiri Ohtani, Project Director</w:t>
      </w:r>
      <w:r>
        <w:rPr>
          <w:rFonts w:ascii="Lucida Bright" w:hAnsi="Lucida Bright"/>
        </w:rPr>
        <w:t xml:space="preserve">, </w:t>
      </w:r>
      <w:r w:rsidR="002B7255">
        <w:rPr>
          <w:rFonts w:ascii="Lucida Bright" w:hAnsi="Lucida Bright"/>
        </w:rPr>
        <w:t>detentionforum@gmail.com</w:t>
      </w:r>
    </w:p>
    <w:sectPr w:rsidR="00E117C8" w:rsidRPr="002B7255" w:rsidSect="00D50DF5">
      <w:headerReference w:type="default" r:id="rId10"/>
      <w:footerReference w:type="even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3851B" w14:textId="77777777" w:rsidR="002D3974" w:rsidRDefault="002D3974" w:rsidP="004A4954">
      <w:pPr>
        <w:spacing w:after="0" w:line="240" w:lineRule="auto"/>
      </w:pPr>
      <w:r>
        <w:separator/>
      </w:r>
    </w:p>
  </w:endnote>
  <w:endnote w:type="continuationSeparator" w:id="0">
    <w:p w14:paraId="637CF6C6" w14:textId="77777777" w:rsidR="002D3974" w:rsidRDefault="002D3974" w:rsidP="004A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EC456" w14:textId="77777777" w:rsidR="004A4954" w:rsidRDefault="004A4954" w:rsidP="00AD45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DCFEE" w14:textId="77777777" w:rsidR="004A4954" w:rsidRDefault="004A4954" w:rsidP="004A49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07B63" w14:textId="77777777" w:rsidR="004A4954" w:rsidRPr="00F6438F" w:rsidRDefault="004A4954" w:rsidP="00AD458A">
    <w:pPr>
      <w:pStyle w:val="Footer"/>
      <w:framePr w:wrap="none" w:vAnchor="text" w:hAnchor="margin" w:xAlign="right" w:y="1"/>
      <w:rPr>
        <w:rStyle w:val="PageNumber"/>
        <w:rFonts w:ascii="Lucida Bright" w:hAnsi="Lucida Bright"/>
      </w:rPr>
    </w:pPr>
    <w:r w:rsidRPr="00F6438F">
      <w:rPr>
        <w:rStyle w:val="PageNumber"/>
        <w:rFonts w:ascii="Lucida Bright" w:hAnsi="Lucida Bright"/>
      </w:rPr>
      <w:fldChar w:fldCharType="begin"/>
    </w:r>
    <w:r w:rsidRPr="00F6438F">
      <w:rPr>
        <w:rStyle w:val="PageNumber"/>
        <w:rFonts w:ascii="Lucida Bright" w:hAnsi="Lucida Bright"/>
      </w:rPr>
      <w:instrText xml:space="preserve">PAGE  </w:instrText>
    </w:r>
    <w:r w:rsidRPr="00F6438F">
      <w:rPr>
        <w:rStyle w:val="PageNumber"/>
        <w:rFonts w:ascii="Lucida Bright" w:hAnsi="Lucida Bright"/>
      </w:rPr>
      <w:fldChar w:fldCharType="separate"/>
    </w:r>
    <w:r w:rsidR="002D3974">
      <w:rPr>
        <w:rStyle w:val="PageNumber"/>
        <w:rFonts w:ascii="Lucida Bright" w:hAnsi="Lucida Bright"/>
        <w:noProof/>
      </w:rPr>
      <w:t>1</w:t>
    </w:r>
    <w:r w:rsidRPr="00F6438F">
      <w:rPr>
        <w:rStyle w:val="PageNumber"/>
        <w:rFonts w:ascii="Lucida Bright" w:hAnsi="Lucida Bright"/>
      </w:rPr>
      <w:fldChar w:fldCharType="end"/>
    </w:r>
  </w:p>
  <w:p w14:paraId="5ED54A4E" w14:textId="77777777" w:rsidR="004A4954" w:rsidRPr="00F6438F" w:rsidRDefault="004A4954" w:rsidP="004A4954">
    <w:pPr>
      <w:pStyle w:val="Footer"/>
      <w:ind w:right="360"/>
      <w:rPr>
        <w:rFonts w:ascii="Lucida Bright" w:hAnsi="Lucida Brigh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14FBD" w14:textId="77777777" w:rsidR="002D3974" w:rsidRDefault="002D3974" w:rsidP="004A4954">
      <w:pPr>
        <w:spacing w:after="0" w:line="240" w:lineRule="auto"/>
      </w:pPr>
      <w:r>
        <w:separator/>
      </w:r>
    </w:p>
  </w:footnote>
  <w:footnote w:type="continuationSeparator" w:id="0">
    <w:p w14:paraId="6C8D2896" w14:textId="77777777" w:rsidR="002D3974" w:rsidRDefault="002D3974" w:rsidP="004A4954">
      <w:pPr>
        <w:spacing w:after="0" w:line="240" w:lineRule="auto"/>
      </w:pPr>
      <w:r>
        <w:continuationSeparator/>
      </w:r>
    </w:p>
  </w:footnote>
  <w:footnote w:id="1">
    <w:p w14:paraId="12ED7396" w14:textId="6AF1802B" w:rsidR="00EC74A3" w:rsidRPr="00EC74A3" w:rsidRDefault="00EC74A3" w:rsidP="00013293">
      <w:pPr>
        <w:pStyle w:val="FootnoteText"/>
        <w:spacing w:line="240" w:lineRule="exact"/>
        <w:rPr>
          <w:sz w:val="18"/>
          <w:szCs w:val="18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72E0">
        <w:rPr>
          <w:sz w:val="18"/>
          <w:szCs w:val="18"/>
        </w:rPr>
        <w:t xml:space="preserve">The Joint Committee on Human Rights, </w:t>
      </w:r>
      <w:r w:rsidRPr="005E72E0">
        <w:rPr>
          <w:i/>
          <w:sz w:val="18"/>
          <w:szCs w:val="18"/>
        </w:rPr>
        <w:t xml:space="preserve">The Treatment of Asylum Seekers: Tenth Report of Session 2006-07, Volume 1 – Report and formal minutes, </w:t>
      </w:r>
      <w:r w:rsidRPr="005E72E0">
        <w:rPr>
          <w:sz w:val="18"/>
          <w:szCs w:val="18"/>
        </w:rPr>
        <w:t>para 275 https://publications.parliament.uk/pa/jt200607/jtselect/jtrights/81/81i.pdf</w:t>
      </w:r>
    </w:p>
  </w:footnote>
  <w:footnote w:id="2">
    <w:p w14:paraId="615DD782" w14:textId="7BEDC027" w:rsidR="00EC74A3" w:rsidRPr="00EC74A3" w:rsidRDefault="00EC74A3" w:rsidP="00013293">
      <w:pPr>
        <w:pStyle w:val="FootnoteText"/>
        <w:spacing w:line="240" w:lineRule="exac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val="en-GB"/>
        </w:rPr>
        <w:t xml:space="preserve">The All Party Parliamentary Group on Refugees and the All Party Parliamentary Group on Migration, </w:t>
      </w:r>
      <w:r>
        <w:rPr>
          <w:i/>
          <w:sz w:val="18"/>
          <w:szCs w:val="18"/>
          <w:lang w:val="en-GB"/>
        </w:rPr>
        <w:t>The Report of the Inquiry into the Use of Immigration Detention in the United Kingdom (2015)</w:t>
      </w:r>
    </w:p>
  </w:footnote>
  <w:footnote w:id="3">
    <w:p w14:paraId="120CB7DC" w14:textId="27E612F2" w:rsidR="00EC74A3" w:rsidRPr="00EC74A3" w:rsidRDefault="00EC74A3" w:rsidP="00013293">
      <w:pPr>
        <w:pStyle w:val="FootnoteText"/>
        <w:spacing w:line="240" w:lineRule="exac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72E0">
        <w:rPr>
          <w:sz w:val="18"/>
          <w:szCs w:val="18"/>
          <w:lang w:val="en-GB"/>
        </w:rPr>
        <w:t>Dr Katy Robjant, 1</w:t>
      </w:r>
      <w:r w:rsidRPr="005E72E0">
        <w:rPr>
          <w:sz w:val="18"/>
          <w:szCs w:val="18"/>
          <w:vertAlign w:val="superscript"/>
          <w:lang w:val="en-GB"/>
        </w:rPr>
        <w:t>st</w:t>
      </w:r>
      <w:r w:rsidRPr="005E72E0">
        <w:rPr>
          <w:sz w:val="18"/>
          <w:szCs w:val="18"/>
          <w:lang w:val="en-GB"/>
        </w:rPr>
        <w:t xml:space="preserve"> Oral Evidence Session of Joint Inquiry by the All Party Parliamentary Group on Refugees and the All Party Parliamentary Group on Migration, 17 July 2014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86967" w14:textId="3C7282EF" w:rsidR="007A7CCF" w:rsidRDefault="007A7CCF">
    <w:pPr>
      <w:pStyle w:val="Header"/>
    </w:pPr>
    <w:r>
      <w:rPr>
        <w:noProof/>
        <w:lang w:val="en-US"/>
      </w:rPr>
      <w:drawing>
        <wp:inline distT="0" distB="0" distL="0" distR="0" wp14:anchorId="1015DD53" wp14:editId="0095E8C0">
          <wp:extent cx="1765935" cy="588645"/>
          <wp:effectExtent l="0" t="0" r="12065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239B"/>
    <w:multiLevelType w:val="hybridMultilevel"/>
    <w:tmpl w:val="21BA233E"/>
    <w:lvl w:ilvl="0" w:tplc="AE9AD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376F"/>
    <w:multiLevelType w:val="hybridMultilevel"/>
    <w:tmpl w:val="A8A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8476E"/>
    <w:multiLevelType w:val="hybridMultilevel"/>
    <w:tmpl w:val="8B501CE8"/>
    <w:lvl w:ilvl="0" w:tplc="F9F25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96C64"/>
    <w:multiLevelType w:val="hybridMultilevel"/>
    <w:tmpl w:val="23F8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60B37"/>
    <w:multiLevelType w:val="hybridMultilevel"/>
    <w:tmpl w:val="AC56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C2C05"/>
    <w:multiLevelType w:val="hybridMultilevel"/>
    <w:tmpl w:val="EDF8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F2D19"/>
    <w:multiLevelType w:val="hybridMultilevel"/>
    <w:tmpl w:val="B316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4726"/>
    <w:multiLevelType w:val="hybridMultilevel"/>
    <w:tmpl w:val="91026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74197"/>
    <w:multiLevelType w:val="hybridMultilevel"/>
    <w:tmpl w:val="171C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67B64"/>
    <w:multiLevelType w:val="hybridMultilevel"/>
    <w:tmpl w:val="4D6E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A6234"/>
    <w:multiLevelType w:val="hybridMultilevel"/>
    <w:tmpl w:val="7EB8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1501D"/>
    <w:multiLevelType w:val="hybridMultilevel"/>
    <w:tmpl w:val="7EAE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012BB"/>
    <w:multiLevelType w:val="hybridMultilevel"/>
    <w:tmpl w:val="8BF6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2013B"/>
    <w:multiLevelType w:val="hybridMultilevel"/>
    <w:tmpl w:val="EB1C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C6F0F"/>
    <w:multiLevelType w:val="hybridMultilevel"/>
    <w:tmpl w:val="B526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50A62"/>
    <w:multiLevelType w:val="hybridMultilevel"/>
    <w:tmpl w:val="EF760FD2"/>
    <w:lvl w:ilvl="0" w:tplc="2A429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26BC6"/>
    <w:multiLevelType w:val="hybridMultilevel"/>
    <w:tmpl w:val="C81A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10"/>
  </w:num>
  <w:num w:numId="11">
    <w:abstractNumId w:val="13"/>
  </w:num>
  <w:num w:numId="12">
    <w:abstractNumId w:val="16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93"/>
    <w:rsid w:val="00013293"/>
    <w:rsid w:val="00025F04"/>
    <w:rsid w:val="00072239"/>
    <w:rsid w:val="00100DF3"/>
    <w:rsid w:val="00162CCC"/>
    <w:rsid w:val="001843E6"/>
    <w:rsid w:val="001A21BF"/>
    <w:rsid w:val="001D2ADE"/>
    <w:rsid w:val="001E1869"/>
    <w:rsid w:val="00206F9E"/>
    <w:rsid w:val="002079AD"/>
    <w:rsid w:val="00233C13"/>
    <w:rsid w:val="00241D93"/>
    <w:rsid w:val="00295CC7"/>
    <w:rsid w:val="002B7255"/>
    <w:rsid w:val="002D3974"/>
    <w:rsid w:val="002F16E0"/>
    <w:rsid w:val="003B3AE9"/>
    <w:rsid w:val="00414168"/>
    <w:rsid w:val="004A23FA"/>
    <w:rsid w:val="004A4954"/>
    <w:rsid w:val="0053567A"/>
    <w:rsid w:val="00590356"/>
    <w:rsid w:val="005A1FD8"/>
    <w:rsid w:val="005E562D"/>
    <w:rsid w:val="00615743"/>
    <w:rsid w:val="006313F8"/>
    <w:rsid w:val="00643E0B"/>
    <w:rsid w:val="006667F5"/>
    <w:rsid w:val="006717AF"/>
    <w:rsid w:val="00674F86"/>
    <w:rsid w:val="006C577C"/>
    <w:rsid w:val="006D06D6"/>
    <w:rsid w:val="007127DB"/>
    <w:rsid w:val="00783076"/>
    <w:rsid w:val="007A7CCF"/>
    <w:rsid w:val="007B57A4"/>
    <w:rsid w:val="007C2357"/>
    <w:rsid w:val="007D530B"/>
    <w:rsid w:val="007F2BCE"/>
    <w:rsid w:val="007F323B"/>
    <w:rsid w:val="008057A4"/>
    <w:rsid w:val="00812345"/>
    <w:rsid w:val="00890DFA"/>
    <w:rsid w:val="0092137B"/>
    <w:rsid w:val="009D2A25"/>
    <w:rsid w:val="00A42291"/>
    <w:rsid w:val="00A44043"/>
    <w:rsid w:val="00A813BF"/>
    <w:rsid w:val="00A9172F"/>
    <w:rsid w:val="00A940DF"/>
    <w:rsid w:val="00AB49DC"/>
    <w:rsid w:val="00B47FE5"/>
    <w:rsid w:val="00B965B2"/>
    <w:rsid w:val="00BD4833"/>
    <w:rsid w:val="00C149A1"/>
    <w:rsid w:val="00C57225"/>
    <w:rsid w:val="00CF5631"/>
    <w:rsid w:val="00D21E04"/>
    <w:rsid w:val="00D50DF5"/>
    <w:rsid w:val="00D74127"/>
    <w:rsid w:val="00DF1887"/>
    <w:rsid w:val="00DF3630"/>
    <w:rsid w:val="00E117C8"/>
    <w:rsid w:val="00E14E6E"/>
    <w:rsid w:val="00E50DC8"/>
    <w:rsid w:val="00E61745"/>
    <w:rsid w:val="00E66536"/>
    <w:rsid w:val="00E6723F"/>
    <w:rsid w:val="00E82392"/>
    <w:rsid w:val="00E940AD"/>
    <w:rsid w:val="00E95920"/>
    <w:rsid w:val="00EC74A3"/>
    <w:rsid w:val="00ED6AB9"/>
    <w:rsid w:val="00F15888"/>
    <w:rsid w:val="00F32BA3"/>
    <w:rsid w:val="00F6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436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313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8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117C8"/>
  </w:style>
  <w:style w:type="character" w:customStyle="1" w:styleId="il">
    <w:name w:val="il"/>
    <w:basedOn w:val="DefaultParagraphFont"/>
    <w:rsid w:val="00E117C8"/>
  </w:style>
  <w:style w:type="paragraph" w:styleId="Footer">
    <w:name w:val="footer"/>
    <w:basedOn w:val="Normal"/>
    <w:link w:val="FooterChar"/>
    <w:uiPriority w:val="99"/>
    <w:unhideWhenUsed/>
    <w:rsid w:val="004A4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954"/>
  </w:style>
  <w:style w:type="character" w:styleId="PageNumber">
    <w:name w:val="page number"/>
    <w:basedOn w:val="DefaultParagraphFont"/>
    <w:uiPriority w:val="99"/>
    <w:semiHidden/>
    <w:unhideWhenUsed/>
    <w:rsid w:val="004A4954"/>
  </w:style>
  <w:style w:type="table" w:styleId="TableGrid">
    <w:name w:val="Table Grid"/>
    <w:basedOn w:val="TableNormal"/>
    <w:uiPriority w:val="59"/>
    <w:rsid w:val="001A2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4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38F"/>
  </w:style>
  <w:style w:type="paragraph" w:styleId="FootnoteText">
    <w:name w:val="footnote text"/>
    <w:basedOn w:val="Normal"/>
    <w:link w:val="FootnoteTextChar"/>
    <w:uiPriority w:val="99"/>
    <w:unhideWhenUsed/>
    <w:rsid w:val="002079AD"/>
    <w:pPr>
      <w:spacing w:after="0" w:line="240" w:lineRule="auto"/>
    </w:pPr>
    <w:rPr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79AD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2079A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E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hyperlink" Target="http://www.detentionforum.org.uk/revisiting-the-first-shaw-review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Users/eiriohtani/Downloads/Detention%20stats-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85217541238"/>
          <c:y val="0.118978209119209"/>
          <c:w val="0.577555031898385"/>
          <c:h val="0.78862165485128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38145398031428"/>
                  <c:y val="0.01664816870144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863408737696425"/>
                  <c:y val="0.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91666666666667"/>
                  <c:y val="0.020242914979757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Sheet1!$B$56:$G$56</c:f>
              <c:strCache>
                <c:ptCount val="6"/>
                <c:pt idx="0">
                  <c:v>1-28 days</c:v>
                </c:pt>
                <c:pt idx="1">
                  <c:v>1-2 months</c:v>
                </c:pt>
                <c:pt idx="2">
                  <c:v>3-6 months</c:v>
                </c:pt>
                <c:pt idx="3">
                  <c:v>6-12 months</c:v>
                </c:pt>
                <c:pt idx="4">
                  <c:v>12-24 months</c:v>
                </c:pt>
                <c:pt idx="5">
                  <c:v>24 months +</c:v>
                </c:pt>
              </c:strCache>
            </c:strRef>
          </c:cat>
          <c:val>
            <c:numRef>
              <c:f>Sheet1!$B$59:$G$59</c:f>
              <c:numCache>
                <c:formatCode>General</c:formatCode>
                <c:ptCount val="6"/>
                <c:pt idx="0">
                  <c:v>1121.0</c:v>
                </c:pt>
                <c:pt idx="1">
                  <c:v>570.0</c:v>
                </c:pt>
                <c:pt idx="2">
                  <c:v>421.0</c:v>
                </c:pt>
                <c:pt idx="3">
                  <c:v>286.0</c:v>
                </c:pt>
                <c:pt idx="4">
                  <c:v>66.0</c:v>
                </c:pt>
                <c:pt idx="5">
                  <c:v>5.0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D1AE04-42F2-5A4B-B7EA-D67C7B5E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858</Words>
  <Characters>4894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Robinson</dc:creator>
  <cp:lastModifiedBy>Microsoft Office User</cp:lastModifiedBy>
  <cp:revision>2</cp:revision>
  <dcterms:created xsi:type="dcterms:W3CDTF">2018-07-03T13:46:00Z</dcterms:created>
  <dcterms:modified xsi:type="dcterms:W3CDTF">2018-07-03T13:46:00Z</dcterms:modified>
</cp:coreProperties>
</file>